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tl w:val="0"/>
        </w:rPr>
        <w:t xml:space="preserve">Life Groups </w:t>
      </w:r>
    </w:p>
    <w:p w:rsidR="00000000" w:rsidDel="00000000" w:rsidP="00000000" w:rsidRDefault="00000000" w:rsidRPr="00000000" w14:paraId="00000002">
      <w:pPr>
        <w:rPr>
          <w:b w:val="1"/>
          <w:bCs w:val="1"/>
        </w:rPr>
      </w:pPr>
      <w:r w:rsidDel="00000000" w:rsidR="00000000" w:rsidRPr="00000000">
        <w:rPr>
          <w:b w:val="1"/>
          <w:bCs w:val="1"/>
          <w:rtl w:val="0"/>
        </w:rPr>
        <w:t xml:space="preserve">Signposts to Jesus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Topic 1 - The miracle of water into wine.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First Thoughts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John's gospel stands apart from the  gospels of Matthew, Mark and Luke. It has a higher view of Jesus as seen in the opening verses where Jesus is called the Logos and God. There is no birth story here. Instead, we are given a clear view of who Jesus is. Throughout the gospel there are seven signs that highlight to the reader that Jesus is both divine and the way to eternal life. The first of these signs is found near the beginning of the book. Jesus has called his disciples but has not yet started his ministry. He has been invited to a wedding along with his mother and disciples in a nearby town. It is here we encounter the first of these seven signs.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 What was the most memorable wedding you have ever attended?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2. A recent news story told about a couple who paid over £38,000 for their wedding. To cover the cost, they charged each guest £735 to attend. Would you go if this was someone you knew?</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3. Why do you think Jesus, Mary and the disciples go to this wedding at Cana? (John 21:2)</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Focus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It was customary to attend a wedding when invited in Jesus' day. In this account we are told  nothing of the bride and groom, their family or friends. All John tells us is that it was in Cana.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Why do you think John leaves out so many of the details?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The Scriptures</w:t>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Read John 2:1-11</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1. Jesus makes the decision to involve himself by providing for the people at the wedding. Why do you think he did this?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2. Is there any significance that this wedding was "on the third day"? See 1 Cor 15:4</w:t>
      </w:r>
    </w:p>
    <w:p w:rsidR="00000000" w:rsidDel="00000000" w:rsidP="00000000" w:rsidRDefault="00000000" w:rsidRPr="00000000" w14:paraId="0000001D">
      <w:pPr>
        <w:rPr/>
      </w:pPr>
      <w:r w:rsidDel="00000000" w:rsidR="00000000" w:rsidRPr="00000000">
        <w:rPr>
          <w:rtl w:val="0"/>
        </w:rPr>
        <w:t xml:space="preserve">Going Further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Going Further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 Jesus' mother puts the problem to Jesus. Do you think she expects him to provide a miraculous solution?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2. Do you think Jesus' reply to his mother tells us anything about how he now views his family ties?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3. What do you make of the term, "woman"? See Jn 4:21, 20:13.</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4. In Genesis 3 Eve calls Adam to sin. Some have suggested that here the new Eve calls the new Adam to begin the work of salvation. What do you think of this interpretation?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5. What role do Jesus’ disciples play?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6. The stone jars stored water for purification purposes. The water they held was used for washing hands and feet. Is there any significance to the fact that the jars are for purification?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7. Jesus changed the stored water into new wine. What is John telling us about Jesus through this sign? See Amos 9:13-15, Joel 3:18 and Isaiah 25:6-8.</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Life Application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1. One commentator says the miracle occurs due to the obedience of the servants and the persistence of Mary. What does this mean for us today?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2. Mary approaches Jesus with the problem but then  leaves it to him to do what he will do. Is there a lesson in prayer for us in this approach?</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3. In John 20:31 the evangelist tells us why he included these seven signs. What should our response be? See chapter 2 v11</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4. When we read the response to the tasting of the wine we are reminded of Matt 7:9-11. What do you think this tell us about God?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Quotes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i w:val="1"/>
          <w:iCs w:val="1"/>
        </w:rPr>
      </w:pPr>
      <w:r w:rsidDel="00000000" w:rsidR="00000000" w:rsidRPr="00000000">
        <w:rPr>
          <w:rtl w:val="0"/>
        </w:rPr>
        <w:t xml:space="preserve">"When you are bidden to believe in him, believe in him up to the brim. When you are told to love him, love him up to the brim. When you are commanded to serve him, serve him up to the brim.” </w:t>
      </w:r>
      <w:r w:rsidDel="00000000" w:rsidR="00000000" w:rsidRPr="00000000">
        <w:rPr>
          <w:i w:val="1"/>
          <w:iCs w:val="1"/>
          <w:rtl w:val="0"/>
        </w:rPr>
        <w:t xml:space="preserve">- CH Spurgeon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i w:val="1"/>
          <w:iCs w:val="1"/>
        </w:rPr>
      </w:pPr>
      <w:r w:rsidDel="00000000" w:rsidR="00000000" w:rsidRPr="00000000">
        <w:rPr>
          <w:rtl w:val="0"/>
        </w:rPr>
        <w:t xml:space="preserve">"Live simply, love generously, care deeply, speak kindly, leave the rest to God." </w:t>
      </w:r>
      <w:r w:rsidDel="00000000" w:rsidR="00000000" w:rsidRPr="00000000">
        <w:rPr>
          <w:i w:val="1"/>
          <w:iCs w:val="1"/>
          <w:rtl w:val="0"/>
        </w:rPr>
        <w:t xml:space="preserve"> - Ronald Reagan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Prayer</w:t>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Dear Father,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We come before you today with hearts full of gratitude, reflecting on the miracle at the wedding in Cana. Thank you for your loving presence in all our moments of joy and in our times of need.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Lord, just as the wine ran out, we confess that we often run empty of our own resources—patience, strength, hope, and peace. We thank you that you are a God of abundance, who desires to fill our emptiness with your grace and joy.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Turn our anxieties into peace, our shortcomings into opportunities for your grace, and our doubts into unwavering faith.</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Amen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To finish</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Take a few moments to pray for immediate family and friends as well as those who are finding it difficult to believe in Jesus and in his abundance. Ask God to enable you to be generous with what you have to give so that Jesus might be all in all.</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